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595959"/>
          <w:sz w:val="22"/>
          <w:szCs w:val="22"/>
        </w:rPr>
        <w:t xml:space="preserve">PETIÇÃO À ASSEMBLEIA DA REPÚBLICA</w:t>
      </w:r>
    </w:p>
    <w:p>
      <w:pPr>
        <w:spacing w:after="100"/>
        <w:jc w:val="center"/>
      </w:pPr>
      <w:r>
        <w:rPr>
          <w:b/>
          <w:bCs/>
          <w:color w:val="1F3864"/>
          <w:sz w:val="30"/>
          <w:szCs w:val="30"/>
        </w:rPr>
        <w:t xml:space="preserve">Taxa fixa de IRS de 12,5 % para o trabalho independente — zero burocracia, mais talento e mais receita para Portugal</w:t>
      </w:r>
    </w:p>
    <w:p>
      <w:pPr>
        <w:spacing w:after="300"/>
        <w:jc w:val="center"/>
      </w:pPr>
      <w:r>
        <w:rPr>
          <w:i/>
          <w:iCs/>
          <w:color w:val="595959"/>
          <w:sz w:val="20"/>
          <w:szCs w:val="20"/>
        </w:rPr>
        <w:t xml:space="preserve">(através da criação de uma opção simples e voluntária no Código do IRS — a «Categoria I»)</w:t>
      </w:r>
    </w:p>
    <w:p>
      <w:pPr>
        <w:spacing w:after="220" w:before="0" w:line="300"/>
        <w:jc w:val="both"/>
      </w:pPr>
      <w:r>
        <w:rPr>
          <w:b/>
          <w:bCs/>
        </w:rPr>
        <w:t xml:space="preserve">Ex.mo Senhor Presidente da Assembleia da República,</w:t>
      </w:r>
    </w:p>
    <w:p>
      <w:pPr>
        <w:spacing w:after="260" w:before="0" w:line="300"/>
        <w:jc w:val="both"/>
      </w:pPr>
      <w:r>
        <w:rPr>
          <w:b/>
          <w:bCs/>
        </w:rPr>
        <w:t xml:space="preserve">[Nome completo do peticionário]</w:t>
      </w:r>
      <w:r>
        <w:t xml:space="preserve">, cidadão português, residente em </w:t>
      </w:r>
      <w:r>
        <w:rPr>
          <w:b/>
          <w:bCs/>
          <w:highlight w:val="yellow"/>
          <w:highlightCs w:val="yellow"/>
        </w:rPr>
        <w:t xml:space="preserve">[morada completa]</w:t>
      </w:r>
      <w:r>
        <w:t xml:space="preserve">, titular do Cartão de Cidadão n.º </w:t>
      </w:r>
      <w:r>
        <w:rPr>
          <w:b/>
          <w:bCs/>
          <w:highlight w:val="yellow"/>
          <w:highlightCs w:val="yellow"/>
        </w:rPr>
        <w:t xml:space="preserve">[número]</w:t>
      </w:r>
      <w:r>
        <w:t xml:space="preserve">, número de identificação fiscal </w:t>
      </w:r>
      <w:r>
        <w:rPr>
          <w:b/>
          <w:bCs/>
          <w:highlight w:val="yellow"/>
          <w:highlightCs w:val="yellow"/>
        </w:rPr>
        <w:t xml:space="preserve">[NIF]</w:t>
      </w:r>
      <w:r>
        <w:t xml:space="preserve">, com o endereço eletrónico [endereço eletrónico], vem, ao abrigo do artigo 52.º da Constituição da República Portuguesa e da Lei n.º 43/90, de 10 de agosto (exercício do direito de petição), apresentar a presente petição, nos termos e com os fundamentos seguintes.</w:t>
      </w:r>
    </w:p>
    <w:p>
      <w:pPr>
        <w:spacing w:after="160" w:before="280"/>
        <w:jc w:val="left"/>
      </w:pPr>
      <w:r>
        <w:rPr>
          <w:b/>
          <w:bCs/>
          <w:color w:val="1F3864"/>
          <w:sz w:val="24"/>
          <w:szCs w:val="24"/>
        </w:rPr>
        <w:t xml:space="preserve">I. Objeto</w:t>
      </w:r>
    </w:p>
    <w:p>
      <w:pPr>
        <w:spacing w:after="160" w:before="0" w:line="300"/>
        <w:jc w:val="both"/>
      </w:pPr>
      <w:r>
        <w:t xml:space="preserve">Requer-se à Assembleia da República que legisle no sentido de criar, no Código do IRS, uma </w:t>
      </w:r>
      <w:r>
        <w:rPr>
          <w:b/>
          <w:bCs/>
        </w:rPr>
        <w:t xml:space="preserve">nova categoria de rendimentos — a Categoria I (Independentes) —</w:t>
      </w:r>
      <w:r>
        <w:t xml:space="preserve"> paralela à atual Categoria B, que se mantém intocada para quem nela quiser permanecer. O enquadramento na Categoria I é uma opção expressa do contribuinte e assenta numa troca clara: </w:t>
      </w:r>
      <w:r>
        <w:rPr>
          <w:b/>
          <w:bCs/>
        </w:rPr>
        <w:t xml:space="preserve">taxa fixa de 12,5 % sobre cada euro faturado</w:t>
      </w:r>
      <w:r>
        <w:t xml:space="preserve"> (deduzidas apenas as contribuições obrigatórias para a Segurança Social, que se mantêm inalteradas) e zero burocracia, </w:t>
      </w:r>
      <w:r>
        <w:rPr>
          <w:b/>
          <w:bCs/>
        </w:rPr>
        <w:t xml:space="preserve">em contrapartida da renúncia aos direitos fiscais do regime geral</w:t>
      </w:r>
      <w:r>
        <w:t xml:space="preserve"> — sem deduções, sem benefícios, sem exceções. Menos direitos, menos imposto, zero complexidade. Quem não optar, nada perde.</w:t>
      </w:r>
    </w:p>
    <w:p>
      <w:pPr>
        <w:spacing w:after="160" w:before="280"/>
        <w:jc w:val="left"/>
      </w:pPr>
      <w:r>
        <w:rPr>
          <w:b/>
          <w:bCs/>
          <w:color w:val="1F3864"/>
          <w:sz w:val="24"/>
          <w:szCs w:val="24"/>
        </w:rPr>
        <w:t xml:space="preserve">II. Exposição de motivos</w:t>
      </w:r>
    </w:p>
    <w:p>
      <w:pPr>
        <w:spacing w:after="160" w:before="0" w:line="300"/>
        <w:jc w:val="both"/>
      </w:pPr>
      <w:r>
        <w:rPr>
          <w:b/>
          <w:bCs/>
        </w:rPr>
        <w:t xml:space="preserve">1. </w:t>
      </w:r>
      <w:r>
        <w:t xml:space="preserve">Portugal conta com cerca de </w:t>
      </w:r>
      <w:r>
        <w:rPr>
          <w:b/>
          <w:bCs/>
        </w:rPr>
        <w:t xml:space="preserve">773 mil trabalhadores por conta própria</w:t>
      </w:r>
      <w:r>
        <w:t xml:space="preserve"> (INE, 2025): programadores, designers, engenheiros, consultores, criadores e outros profissionais que sustentam a economia digital e de serviços — precisamente o segmento onde se decide a competitividade do país.</w:t>
      </w:r>
    </w:p>
    <w:p>
      <w:pPr>
        <w:spacing w:after="160" w:before="0" w:line="300"/>
        <w:jc w:val="both"/>
      </w:pPr>
      <w:r>
        <w:rPr>
          <w:b/>
          <w:bCs/>
        </w:rPr>
        <w:t xml:space="preserve">2. </w:t>
      </w:r>
      <w:r>
        <w:t xml:space="preserve">O regime fiscal que hoje lhes é aplicável é complexo e penalizador: coeficientes que presumem tributáveis 75 % dos rendimentos brutos das atividades profissionais, obrigação de justificação de 15 % de despesas, retenções na fonte, pagamentos por conta, englobamento em escalões progressivos até 48 %, taxa adicional de solidariedade até 5 % e contribuições trimestrais para a Segurança Social de 21,4 % sobre 70 % do rendimento relevante. No conjunto, a carga marginal efetiva sobre o rendimento bruto pode ultrapassar os 50 %.</w:t>
      </w:r>
    </w:p>
    <w:p>
      <w:pPr>
        <w:spacing w:after="160" w:before="0" w:line="300"/>
        <w:jc w:val="both"/>
      </w:pPr>
      <w:r>
        <w:rPr>
          <w:b/>
          <w:bCs/>
        </w:rPr>
        <w:t xml:space="preserve">3. </w:t>
      </w:r>
      <w:r>
        <w:t xml:space="preserve">Este quadro tem três consequências conhecidas: afasta os profissionais mais qualificados e com maior mobilidade internacional; desincentiva a declaração integral de rendimentos; e impõe custos de contexto — contabilistas, simuladores, litigância — desproporcionados para quem trabalha sozinho.</w:t>
      </w:r>
    </w:p>
    <w:p>
      <w:pPr>
        <w:spacing w:after="160" w:before="0" w:line="300"/>
        <w:jc w:val="both"/>
      </w:pPr>
      <w:r>
        <w:rPr>
          <w:b/>
          <w:bCs/>
        </w:rPr>
        <w:t xml:space="preserve">4. </w:t>
      </w:r>
      <w:r>
        <w:t xml:space="preserve">Entretanto, a concorrência fiscal europeia intensificou-se: a Itália oferece aos independentes uma taxa fixa de 15 % (5 % nos primeiros cinco anos) até 85.000 € de faturação; a Polónia tributa os serviços de programação a 12 % sobre o volume de negócios; a Roménia e a Bulgária aplicam taxas únicas de 10 % (na Bulgária, com dedução automática de despesas presumidas, a taxa efetiva desce a 7,5 %). O trabalho remoto tornou a residência fiscal uma escolha — e os profissionais escolhem.</w:t>
      </w:r>
    </w:p>
    <w:p>
      <w:pPr>
        <w:spacing w:after="160" w:before="0" w:line="300"/>
        <w:jc w:val="both"/>
      </w:pPr>
      <w:r>
        <w:rPr>
          <w:b/>
          <w:bCs/>
        </w:rPr>
        <w:t xml:space="preserve">5. </w:t>
      </w:r>
      <w:r>
        <w:t xml:space="preserve">O próprio Estado português já reconheceu esta realidade — mas apenas para quem vem de fora: o IFICI (sucessor do regime dos residentes não habituais) oferece 20 % durante dez anos a novos residentes, mediante listas de profissões elegíveis, certificações e candidaturas. Um português que cá vive e trabalha não tem acesso a nada de semelhante. </w:t>
      </w:r>
      <w:r>
        <w:rPr>
          <w:b/>
          <w:bCs/>
        </w:rPr>
        <w:t xml:space="preserve">O paradoxo é evidente: tratamos melhor quem chega do que quem cá está e quem fica.</w:t>
      </w:r>
    </w:p>
    <w:p>
      <w:pPr>
        <w:spacing w:after="160" w:before="0" w:line="300"/>
        <w:jc w:val="both"/>
      </w:pPr>
      <w:r>
        <w:rPr>
          <w:b/>
          <w:bCs/>
        </w:rPr>
        <w:t xml:space="preserve">6. </w:t>
      </w:r>
      <w:r>
        <w:t xml:space="preserve">A resposta não é mais um programa especial, com formulários, triagens e gabinetes. É o contrário: uma categoria radicalmente simples, aberta a todos os residentes, praticamente sem custos de administração — e, por isso, sem os custos de burocracia dos programas para não residentes e dos vistos especiais.</w:t>
      </w:r>
    </w:p>
    <w:p>
      <w:pPr>
        <w:spacing w:after="160" w:before="0" w:line="300"/>
        <w:jc w:val="both"/>
      </w:pPr>
      <w:r>
        <w:rPr>
          <w:b/>
          <w:bCs/>
        </w:rPr>
        <w:t xml:space="preserve">7. </w:t>
      </w:r>
      <w:r>
        <w:t xml:space="preserve">Propõe-se, assim, a criação de uma </w:t>
      </w:r>
      <w:r>
        <w:rPr>
          <w:b/>
          <w:bCs/>
        </w:rPr>
        <w:t xml:space="preserve">nova categoria de rendimentos — a Categoria I</w:t>
      </w:r>
      <w:r>
        <w:t xml:space="preserve"> — com as seguintes características:</w:t>
      </w:r>
    </w:p>
    <w:p>
      <w:pPr>
        <w:spacing w:after="100" w:before="0" w:line="300"/>
        <w:ind w:left="440"/>
        <w:jc w:val="both"/>
      </w:pPr>
      <w:r>
        <w:t xml:space="preserve">a) </w:t>
      </w:r>
      <w:r>
        <w:rPr>
          <w:b/>
          <w:bCs/>
        </w:rPr>
        <w:t xml:space="preserve">Opção expressa e voluntária: </w:t>
      </w:r>
      <w:r>
        <w:t xml:space="preserve">só entra quem quer. A Categoria B mantém-se exatamente como está para todos os restantes, incluindo os atuais trabalhadores independentes, que nada perdem;</w:t>
      </w:r>
    </w:p>
    <w:p>
      <w:pPr>
        <w:spacing w:after="100" w:before="0" w:line="300"/>
        <w:ind w:left="440"/>
        <w:jc w:val="both"/>
      </w:pPr>
      <w:r>
        <w:t xml:space="preserve">b) </w:t>
      </w:r>
      <w:r>
        <w:rPr>
          <w:b/>
          <w:bCs/>
        </w:rPr>
        <w:t xml:space="preserve">Taxa fixa de 12,5 % </w:t>
      </w:r>
      <w:r>
        <w:t xml:space="preserve">— a taxa do primeiro escalão do IRS — sobre a totalidade dos rendimentos brutos, sem teto de faturação, deduzidas exclusivamente as contribuições obrigatórias para a Segurança Social (que se mantêm inalteradas, sem qualquer perda para o sistema previdencial nem para a proteção social do contribuinte);</w:t>
      </w:r>
    </w:p>
    <w:p>
      <w:pPr>
        <w:spacing w:after="100" w:before="0" w:line="300"/>
        <w:ind w:left="440"/>
        <w:jc w:val="both"/>
      </w:pPr>
      <w:r>
        <w:t xml:space="preserve">c) </w:t>
      </w:r>
      <w:r>
        <w:rPr>
          <w:b/>
          <w:bCs/>
        </w:rPr>
        <w:t xml:space="preserve">Contrapartida assumida — menos direitos em troca de menos imposto: </w:t>
      </w:r>
      <w:r>
        <w:t xml:space="preserve">quem opta renuncia, quanto a estes rendimentos e à respetiva coleta, às deduções à coleta (saúde, educação, habitação, etc.), aos benefícios fiscais, ao mínimo de existência e ao englobamento com o quociente familiar. Os restantes rendimentos do contribuinte e do seu agregado seguem o regime geral;</w:t>
      </w:r>
    </w:p>
    <w:p>
      <w:pPr>
        <w:spacing w:after="100" w:before="0" w:line="300"/>
        <w:ind w:left="440"/>
        <w:jc w:val="both"/>
      </w:pPr>
      <w:r>
        <w:t xml:space="preserve">d) </w:t>
      </w:r>
      <w:r>
        <w:rPr>
          <w:b/>
          <w:bCs/>
        </w:rPr>
        <w:t xml:space="preserve">Zero burocracia: </w:t>
      </w:r>
      <w:r>
        <w:t xml:space="preserve">sem coeficientes, sem justificação de despesas, sem anexos; liquidação tendencialmente automática, com base na faturação eletrónica já comunicada à Autoridade Tributária;</w:t>
      </w:r>
    </w:p>
    <w:p>
      <w:pPr>
        <w:spacing w:after="100" w:before="0" w:line="300"/>
        <w:ind w:left="440"/>
        <w:jc w:val="both"/>
      </w:pPr>
      <w:r>
        <w:t xml:space="preserve">e) </w:t>
      </w:r>
      <w:r>
        <w:rPr>
          <w:b/>
          <w:bCs/>
        </w:rPr>
        <w:t xml:space="preserve">Universalidade: </w:t>
      </w:r>
      <w:r>
        <w:t xml:space="preserve">sem requisitos de idade, profissão, nacionalidade ou residência prévia; opção renovável automaticamente, com período mínimo de permanência a definir pelo legislador (sugerem-se três anos, para prevenir arbitragens entre categorias).</w:t>
      </w:r>
    </w:p>
    <w:p>
      <w:pPr>
        <w:spacing w:after="160" w:before="0" w:line="300"/>
        <w:jc w:val="both"/>
      </w:pPr>
      <w:r>
        <w:rPr>
          <w:b/>
          <w:bCs/>
        </w:rPr>
        <w:t xml:space="preserve">8. </w:t>
      </w:r>
      <w:r>
        <w:t xml:space="preserve">Ninguém perde. Quem tem rendimentos baixos ou despesas elevadas deve permanecer na Categoria B — o mínimo de existência e as deduções continuam a protegê-lo. A Categoria I destina-se a quem valoriza previsibilidade e simplicidade acima de tudo — em especial os perfis qualificados, de rendimentos médios e elevados e grande mobilidade internacional — e que aceita, de forma consciente, prescindir de direitos fiscais em troca. É uma escolha adulta entre dois contratos fiscais claros.</w:t>
      </w:r>
    </w:p>
    <w:p>
      <w:pPr>
        <w:spacing w:after="160" w:before="0" w:line="300"/>
        <w:jc w:val="both"/>
      </w:pPr>
      <w:r>
        <w:rPr>
          <w:b/>
          <w:bCs/>
        </w:rPr>
        <w:t xml:space="preserve">9. </w:t>
      </w:r>
      <w:r>
        <w:t xml:space="preserve">O impacto orçamental tende a ser positivo. Ao contrário do regime italiano, a Categoria I não tem teto de faturação, tornando-a particularmente atrativa para rendimentos elevados — hoje em grande parte perdidos para outras jurisdições, para estruturas societárias ou para a economia informal. </w:t>
      </w:r>
      <w:r>
        <w:rPr>
          <w:b/>
          <w:bCs/>
        </w:rPr>
        <w:t xml:space="preserve">Vale mais 12,5 % sobre uma base alargada e crescente do que taxas até 53 % sobre uma base que emigra.</w:t>
      </w:r>
      <w:r>
        <w:t xml:space="preserve"> E porque quem opta renuncia a todas as deduções e benefícios, cada euro declarado rende integralmente, sem erosão da base nem despesa fiscal associada. Acrescem a poupança em custos administrativos, de fiscalização e de litigância, e a manutenção integral da receita contributiva da Segurança Social. Estudos recentes estimam em cerca de 2 mil milhões de euros por ano o custo da emigração jovem qualificada, e cerca de 73 % dos jovens até aos 24 anos ponderam emigrar.</w:t>
      </w:r>
    </w:p>
    <w:p>
      <w:pPr>
        <w:spacing w:after="160" w:before="0" w:line="300"/>
        <w:jc w:val="both"/>
      </w:pPr>
      <w:r>
        <w:rPr>
          <w:b/>
          <w:bCs/>
        </w:rPr>
        <w:t xml:space="preserve">10. </w:t>
      </w:r>
      <w:r>
        <w:rPr>
          <w:b/>
          <w:bCs/>
        </w:rPr>
        <w:t xml:space="preserve">A simplicidade desta categoria gera uma poupança direta na administração fiscal. </w:t>
      </w:r>
      <w:r>
        <w:t xml:space="preserve">Hoje, o Estado gasta recursos consideráveis a administrar a complexidade da Categoria B: verificação de coeficientes e da justificação de despesas, análise de divergências do e-fatura, correções oficiosas, informações vinculativas, reclamações graciosas e contencioso arrastado nos tribunais tributários. Na Categoria I, a liquidação reduz-se a uma operação aritmética sobre dados que a Autoridade Tributária já possui — a faturação eletrónica e as contribuições declaradas à Segurança Social: nada para interpretar, quase nada para fiscalizar além da faturação, quase nada para litigar. Cada contribuinte que opte pela Categoria I passa a custar menos a administrar, libertando meios da AT para o combate à fraude de maior dimensão — uma poupança que acresce, ano após ano, à receita adicional estimada.</w:t>
      </w:r>
    </w:p>
    <w:p>
      <w:pPr>
        <w:spacing w:after="160" w:before="0" w:line="300"/>
        <w:jc w:val="both"/>
      </w:pPr>
      <w:r>
        <w:rPr>
          <w:b/>
          <w:bCs/>
        </w:rPr>
        <w:t xml:space="preserve">11. </w:t>
      </w:r>
      <w:r>
        <w:t xml:space="preserve">Um imposto que se explica numa frase é, em si mesmo, uma política de atração de investimento: dá a Portugal um argumento único na Europa para captar e reter freelancers, fundadores e empresas tecnológicas de fronteira — sem gabinetes de candidatura nem regimes de exceção, e em condições de plena igualdade entre nacionais, residentes e recém-chegados.</w:t>
      </w:r>
    </w:p>
    <w:p>
      <w:pPr>
        <w:spacing w:after="160" w:before="280"/>
        <w:jc w:val="left"/>
      </w:pPr>
      <w:r>
        <w:rPr>
          <w:b/>
          <w:bCs/>
          <w:color w:val="1F3864"/>
          <w:sz w:val="24"/>
          <w:szCs w:val="24"/>
        </w:rPr>
        <w:t xml:space="preserve">III. Pretensão</w:t>
      </w:r>
    </w:p>
    <w:p>
      <w:pPr>
        <w:spacing w:after="120" w:before="0" w:line="300"/>
        <w:jc w:val="both"/>
      </w:pPr>
      <w:r>
        <w:t xml:space="preserve">Nestes termos, requer-se à Assembleia da República que:</w:t>
      </w:r>
    </w:p>
    <w:p>
      <w:pPr>
        <w:spacing w:after="100" w:before="0" w:line="300"/>
        <w:ind w:left="440"/>
        <w:jc w:val="both"/>
      </w:pPr>
      <w:r>
        <w:rPr>
          <w:b/>
          <w:bCs/>
        </w:rPr>
        <w:t xml:space="preserve">a) </w:t>
      </w:r>
      <w:r>
        <w:t xml:space="preserve">Admita e aprecie a presente petição, nos termos da Lei n.º 43/90, de 10 de agosto;</w:t>
      </w:r>
    </w:p>
    <w:p>
      <w:pPr>
        <w:spacing w:after="100" w:before="0" w:line="300"/>
        <w:ind w:left="440"/>
        <w:jc w:val="both"/>
      </w:pPr>
      <w:r>
        <w:rPr>
          <w:b/>
          <w:bCs/>
        </w:rPr>
        <w:t xml:space="preserve">b) </w:t>
      </w:r>
      <w:r>
        <w:t xml:space="preserve">Legisle no sentido de criar no Código do IRS uma nova categoria de rendimentos — a Categoria I —, de enquadramento opcional, tributada por taxa fixa de 12,5 %, com as características descritas no ponto 7 da exposição de motivos, podendo tomar como ponto de partida a sugestão de redação constante do Anexo I;</w:t>
      </w:r>
    </w:p>
    <w:p>
      <w:pPr>
        <w:spacing w:after="100" w:before="0" w:line="300"/>
        <w:ind w:left="440"/>
        <w:jc w:val="both"/>
      </w:pPr>
      <w:r>
        <w:rPr>
          <w:b/>
          <w:bCs/>
        </w:rPr>
        <w:t xml:space="preserve">c) </w:t>
      </w:r>
      <w:r>
        <w:t xml:space="preserve">Subsidiariamente, recomende ao Governo que inscreva a criação desta categoria na proposta de Orçamento do Estado para 2027.</w:t>
      </w:r>
    </w:p>
    <w:p>
      <w:pPr>
        <w:spacing w:after="240" w:before="160" w:line="300"/>
        <w:jc w:val="both"/>
      </w:pPr>
      <w:r>
        <w:t xml:space="preserve">Pede deferimento.</w:t>
      </w:r>
    </w:p>
    <w:p>
      <w:pPr>
        <w:spacing w:after="60" w:before="0" w:line="300"/>
        <w:jc w:val="left"/>
      </w:pPr>
      <w:r>
        <w:rPr>
          <w:highlight w:val="yellow"/>
          <w:highlightCs w:val="yellow"/>
        </w:rPr>
        <w:t xml:space="preserve">[Local]</w:t>
      </w:r>
      <w:r>
        <w:t xml:space="preserve">, </w:t>
      </w:r>
      <w:r>
        <w:rPr>
          <w:highlight w:val="yellow"/>
          <w:highlightCs w:val="yellow"/>
        </w:rPr>
        <w:t xml:space="preserve">[data]</w:t>
      </w:r>
    </w:p>
    <w:p>
      <w:pPr>
        <w:spacing w:after="240" w:before="0" w:line="300"/>
        <w:jc w:val="left"/>
      </w:pPr>
      <w:r>
        <w:t xml:space="preserve">O peticionário,</w:t>
      </w:r>
    </w:p>
    <w:p>
      <w:pPr>
        <w:spacing w:after="40" w:before="0" w:line="300"/>
        <w:jc w:val="left"/>
      </w:pPr>
      <w:r>
        <w:rPr>
          <w:color w:val="595959"/>
        </w:rPr>
        <w:t xml:space="preserve">_______________________________</w:t>
      </w:r>
    </w:p>
    <w:p>
      <w:pPr>
        <w:spacing w:after="320" w:before="0" w:line="300"/>
        <w:jc w:val="left"/>
      </w:pPr>
      <w:r>
        <w:rPr>
          <w:b/>
          <w:bCs/>
        </w:rPr>
        <w:t xml:space="preserve">[Nome completo do peticionário]</w:t>
      </w:r>
    </w:p>
    <w:p>
      <w:pPr>
        <w:spacing w:after="160" w:before="360"/>
        <w:jc w:val="left"/>
      </w:pPr>
      <w:r>
        <w:rPr>
          <w:b/>
          <w:bCs/>
          <w:color w:val="1F3864"/>
          <w:sz w:val="24"/>
          <w:szCs w:val="24"/>
        </w:rPr>
        <w:t xml:space="preserve">Anexo I — Sugestão de redação legislativa</w:t>
      </w:r>
    </w:p>
    <w:p>
      <w:pPr>
        <w:spacing w:after="160" w:before="0" w:line="300"/>
        <w:jc w:val="both"/>
      </w:pPr>
      <w:r>
        <w:t xml:space="preserve">Aditamentos ao Código do Imposto sobre o Rendimento das Pessoas Singulares, sem prejuízo do aperfeiçoamento técnico pelos serviços competentes: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1.º — Aditamento ao artigo 1.º (Base do imposto)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t xml:space="preserve">Ao elenco de categorias do n.º 1 do artigo 1.º é aditada a «Categoria I — Trabalho independente em regime de taxa fixa».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2.º — Novo artigo 3.º-A (Rendimentos da categoria I)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1 — </w:t>
      </w:r>
      <w:r>
        <w:t xml:space="preserve">Constituem rendimentos da categoria I os rendimentos que, na falta da opção prevista no número seguinte, se qualificariam como rendimentos empresariais e profissionais da categoria B, quando o respetivo titular, residente em território português, opte expressamente pelo enquadramento nesta categoria.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2 — </w:t>
      </w:r>
      <w:r>
        <w:t xml:space="preserve">A opção é exercida na declaração de início ou de alterações de atividade, produz efeitos a partir do período de tributação em que é exercida e renova-se automaticamente, com um período mínimo de permanência de três anos.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3 — </w:t>
      </w:r>
      <w:r>
        <w:t xml:space="preserve">O enquadramento na categoria I não altera o regime contributivo dos trabalhadores independentes nem os correspondentes direitos de proteção social.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3.º — Novo artigo 31.º-C (Matéria coletável da categoria I)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t xml:space="preserve">A matéria coletável corresponde à totalidade dos rendimentos ilíquidos da categoria I auferidos no período de tributação, deduzida exclusivamente do montante das contribuições obrigatórias para regimes de proteção social pagas no mesmo período, na parte em que respeitem a esses rendimentos, sem aplicação de coeficientes, presunções de despesas ou quaisquer outras deduções.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4.º — Novo artigo 72.º-B (Taxa da categoria I)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1 — </w:t>
      </w:r>
      <w:r>
        <w:t xml:space="preserve">Os rendimentos da categoria I são tributados à taxa fixa de 12,5 %, não sendo objeto de englobamento nem sujeitos à taxa adicional de solidariedade prevista no artigo 68.º-A.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2 — </w:t>
      </w:r>
      <w:r>
        <w:t xml:space="preserve">À coleta da categoria I não são aplicáveis as deduções previstas no artigo 78.º, o mínimo de existência previsto no artigo 70.º, nem quaisquer benefícios fiscais, deduções, reduções ou isenções, mantendo-se o regime geral quanto aos demais rendimentos do sujeito passivo e do seu agregado familiar.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5.º — Obrigações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1 — </w:t>
      </w:r>
      <w:r>
        <w:t xml:space="preserve">As retenções na fonte efetuadas sobre rendimentos da categoria I têm a natureza de pagamento por conta do imposto devido a final, podendo o sujeito passivo optar pela dispensa de retenção nos termos gerais.</w:t>
      </w:r>
    </w:p>
    <w:p>
      <w:pPr>
        <w:pBdr>
          <w:left w:val="single" w:color="1F3864" w:sz="18" w:space="12"/>
        </w:pBdr>
        <w:shd w:fill="F5F8FC" w:val="clear"/>
        <w:spacing w:after="110" w:line="290"/>
        <w:ind w:left="340" w:right="200"/>
        <w:jc w:val="both"/>
      </w:pPr>
      <w:r>
        <w:rPr>
          <w:b/>
          <w:bCs/>
        </w:rPr>
        <w:t xml:space="preserve">2 — </w:t>
      </w:r>
      <w:r>
        <w:t xml:space="preserve">Os titulares de rendimentos da categoria I ficam dispensados das obrigações declarativas acessórias relativas à determinação do rendimento tributável desta categoria, sendo o imposto liquidado com base nos elementos comunicados à Autoridade Tributária e Aduaneira nos termos legais.</w:t>
      </w:r>
    </w:p>
    <w:p>
      <w:pPr>
        <w:pBdr>
          <w:left w:val="single" w:color="1F3864" w:sz="18" w:space="12"/>
        </w:pBdr>
        <w:shd w:fill="F5F8FC" w:val="clear"/>
        <w:spacing w:after="200" w:line="290"/>
        <w:ind w:left="340" w:right="200"/>
        <w:jc w:val="both"/>
      </w:pPr>
      <w:r>
        <w:rPr>
          <w:b/>
          <w:bCs/>
        </w:rPr>
        <w:t xml:space="preserve">3 — </w:t>
      </w:r>
      <w:r>
        <w:t xml:space="preserve">Mantêm-se as obrigações de faturação e as demais obrigações em sede de IVA e de contribuições para regimes de proteção social.</w:t>
      </w:r>
    </w:p>
    <w:p>
      <w:pPr>
        <w:spacing w:after="0" w:before="0" w:line="300"/>
        <w:jc w:val="both"/>
      </w:pPr>
      <w:r>
        <w:rPr>
          <w:b/>
          <w:bCs/>
        </w:rPr>
        <w:t xml:space="preserve">Nota: </w:t>
      </w:r>
      <w:r>
        <w:t xml:space="preserve">acompanha esta petição um Anexo Técnico com a fundamentação quantitativa (carga fiscal atual vs. Categoria I), a comparação europeia e as fontes utilizadas.</w:t>
      </w:r>
    </w:p>
    <w:sectPr>
      <w:footerReference w:type="default" r:id="rId7"/>
      <w:pgSz w:w="11906" w:h="16838" w:orient="portrait"/>
      <w:pgMar w:top="138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60"/>
      <w:jc w:val="center"/>
    </w:pPr>
    <w:r>
      <w:rPr>
        <w:color w:val="595959"/>
        <w:sz w:val="16"/>
        <w:szCs w:val="16"/>
      </w:rPr>
      <w:t xml:space="preserve">Petição — Categoria I: taxa fixa de 12,5 % (IRS)  ·  pág.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2026-07-14T13:40:02.515Z</dcterms:created>
  <dcterms:modified xsi:type="dcterms:W3CDTF">2026-07-14T13:40:02.526Z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